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A1B04">
      <w:pPr>
        <w:jc w:val="center"/>
        <w:rPr>
          <w:rFonts w:ascii="方正小标宋简体" w:hAnsi="方正小标宋简体" w:eastAsia="方正小标宋简体" w:cs="方正小标宋简体"/>
          <w:sz w:val="44"/>
          <w:szCs w:val="44"/>
        </w:rPr>
      </w:pPr>
      <w:r>
        <w:rPr>
          <w:rFonts w:hint="eastAsia" w:ascii="宋体" w:hAnsi="宋体" w:cs="宋体"/>
          <w:b/>
          <w:sz w:val="44"/>
          <w:szCs w:val="44"/>
        </w:rPr>
        <w:t>华意压缩机（荆州）有限公司</w:t>
      </w:r>
    </w:p>
    <w:p w14:paraId="2A06CAD3">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招聘人员公示</w:t>
      </w:r>
    </w:p>
    <w:p w14:paraId="31DF6A49">
      <w:pPr>
        <w:pStyle w:val="9"/>
      </w:pPr>
    </w:p>
    <w:p w14:paraId="5C616A16">
      <w:pPr>
        <w:spacing w:line="576" w:lineRule="exact"/>
        <w:ind w:firstLine="640" w:firstLineChars="200"/>
        <w:rPr>
          <w:rFonts w:ascii="仿宋" w:hAnsi="仿宋" w:eastAsia="仿宋" w:cs="宋体"/>
          <w:sz w:val="32"/>
          <w:szCs w:val="32"/>
        </w:rPr>
      </w:pPr>
      <w:r>
        <w:rPr>
          <w:rFonts w:hint="eastAsia" w:ascii="仿宋" w:hAnsi="仿宋" w:eastAsia="仿宋" w:cs="仿宋_GB2312"/>
          <w:sz w:val="32"/>
          <w:szCs w:val="32"/>
        </w:rPr>
        <w:t>根据</w:t>
      </w:r>
      <w:r>
        <w:rPr>
          <w:rFonts w:hint="eastAsia" w:ascii="仿宋" w:hAnsi="仿宋" w:eastAsia="仿宋" w:cs="宋体"/>
          <w:sz w:val="32"/>
          <w:szCs w:val="32"/>
        </w:rPr>
        <w:t>华意压缩机（荆州）有限</w:t>
      </w:r>
      <w:r>
        <w:rPr>
          <w:rFonts w:hint="eastAsia" w:ascii="仿宋" w:hAnsi="仿宋" w:eastAsia="仿宋" w:cs="仿宋_GB2312"/>
          <w:sz w:val="32"/>
          <w:szCs w:val="32"/>
        </w:rPr>
        <w:t>公司经营管理需要,发布了相关招聘信息，</w:t>
      </w:r>
      <w:r>
        <w:rPr>
          <w:rFonts w:hint="eastAsia" w:ascii="仿宋" w:hAnsi="仿宋" w:eastAsia="仿宋" w:cs="仿宋_GB2312"/>
          <w:sz w:val="32"/>
          <w:szCs w:val="32"/>
          <w:lang w:val="en-US" w:eastAsia="zh-CN"/>
        </w:rPr>
        <w:t>技术开发部招聘售前匹配工程师1人，技术工艺部招聘精益主管1人，IE工程师1人，</w:t>
      </w:r>
      <w:bookmarkStart w:id="0" w:name="_GoBack"/>
      <w:bookmarkEnd w:id="0"/>
      <w:r>
        <w:rPr>
          <w:rFonts w:hint="eastAsia" w:ascii="仿宋" w:hAnsi="仿宋" w:eastAsia="仿宋" w:cs="仿宋_GB2312"/>
          <w:color w:val="FF0000"/>
          <w:sz w:val="32"/>
          <w:szCs w:val="32"/>
        </w:rPr>
        <w:t>期间收到简历</w:t>
      </w:r>
      <w:r>
        <w:rPr>
          <w:rFonts w:ascii="仿宋" w:hAnsi="仿宋" w:eastAsia="仿宋" w:cs="仿宋_GB2312"/>
          <w:color w:val="FF0000"/>
          <w:sz w:val="32"/>
          <w:szCs w:val="32"/>
        </w:rPr>
        <w:t xml:space="preserve"> </w:t>
      </w:r>
      <w:r>
        <w:rPr>
          <w:rFonts w:hint="eastAsia" w:ascii="仿宋" w:hAnsi="仿宋" w:eastAsia="仿宋" w:cs="仿宋_GB2312"/>
          <w:color w:val="FF0000"/>
          <w:sz w:val="32"/>
          <w:szCs w:val="32"/>
          <w:lang w:val="en-US" w:eastAsia="zh-CN"/>
        </w:rPr>
        <w:t>18</w:t>
      </w:r>
      <w:r>
        <w:rPr>
          <w:rFonts w:hint="eastAsia" w:ascii="仿宋" w:hAnsi="仿宋" w:eastAsia="仿宋" w:cs="仿宋_GB2312"/>
          <w:color w:val="FF0000"/>
          <w:sz w:val="32"/>
          <w:szCs w:val="32"/>
        </w:rPr>
        <w:t>份</w:t>
      </w:r>
      <w:r>
        <w:rPr>
          <w:rFonts w:hint="eastAsia" w:ascii="仿宋" w:hAnsi="仿宋" w:eastAsia="仿宋" w:cs="仿宋_GB2312"/>
          <w:sz w:val="32"/>
          <w:szCs w:val="32"/>
        </w:rPr>
        <w:t>，经资格审查、面试、体检等程序，以下人员满足录用条件，现予以公示，具体情况</w:t>
      </w:r>
      <w:r>
        <w:rPr>
          <w:rFonts w:hint="eastAsia" w:ascii="仿宋" w:hAnsi="仿宋" w:eastAsia="仿宋" w:cs="宋体"/>
          <w:sz w:val="32"/>
          <w:szCs w:val="32"/>
        </w:rPr>
        <w:t>见附表。</w:t>
      </w:r>
    </w:p>
    <w:p w14:paraId="08E8B908"/>
    <w:p w14:paraId="7E38F552">
      <w:pPr>
        <w:spacing w:line="240" w:lineRule="exact"/>
        <w:ind w:firstLine="640" w:firstLineChars="200"/>
        <w:rPr>
          <w:rFonts w:ascii="仿宋" w:hAnsi="仿宋" w:eastAsia="仿宋" w:cs="仿宋_GB2312"/>
          <w:sz w:val="32"/>
          <w:szCs w:val="32"/>
        </w:rPr>
      </w:pPr>
    </w:p>
    <w:p w14:paraId="20002A8E">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公示期为：202</w:t>
      </w:r>
      <w:r>
        <w:rPr>
          <w:rFonts w:hint="eastAsia" w:ascii="仿宋" w:hAnsi="仿宋" w:eastAsia="仿宋" w:cs="仿宋_GB2312"/>
          <w:sz w:val="32"/>
          <w:szCs w:val="32"/>
          <w:lang w:val="en-US" w:eastAsia="zh-CN"/>
        </w:rPr>
        <w:t>5</w:t>
      </w:r>
      <w:r>
        <w:rPr>
          <w:rFonts w:hint="eastAsia" w:ascii="仿宋" w:hAnsi="仿宋" w:eastAsia="仿宋" w:cs="仿宋_GB2312"/>
          <w:sz w:val="32"/>
          <w:szCs w:val="32"/>
        </w:rPr>
        <w:t>年</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月</w:t>
      </w:r>
      <w:r>
        <w:rPr>
          <w:rFonts w:hint="eastAsia" w:ascii="仿宋" w:hAnsi="仿宋" w:eastAsia="仿宋" w:cs="仿宋_GB2312"/>
          <w:sz w:val="32"/>
          <w:szCs w:val="32"/>
          <w:lang w:val="en-US" w:eastAsia="zh-CN"/>
        </w:rPr>
        <w:t>11</w:t>
      </w:r>
      <w:r>
        <w:rPr>
          <w:rFonts w:hint="eastAsia" w:ascii="仿宋" w:hAnsi="仿宋" w:eastAsia="仿宋" w:cs="仿宋_GB2312"/>
          <w:sz w:val="32"/>
          <w:szCs w:val="32"/>
        </w:rPr>
        <w:t>日至202</w:t>
      </w:r>
      <w:r>
        <w:rPr>
          <w:rFonts w:hint="eastAsia" w:ascii="仿宋" w:hAnsi="仿宋" w:eastAsia="仿宋" w:cs="仿宋_GB2312"/>
          <w:sz w:val="32"/>
          <w:szCs w:val="32"/>
          <w:lang w:val="en-US" w:eastAsia="zh-CN"/>
        </w:rPr>
        <w:t>5</w:t>
      </w:r>
      <w:r>
        <w:rPr>
          <w:rFonts w:hint="eastAsia" w:ascii="仿宋" w:hAnsi="仿宋" w:eastAsia="仿宋" w:cs="仿宋_GB2312"/>
          <w:sz w:val="32"/>
          <w:szCs w:val="32"/>
        </w:rPr>
        <w:t>年</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月</w:t>
      </w:r>
      <w:r>
        <w:rPr>
          <w:rFonts w:hint="eastAsia" w:ascii="仿宋" w:hAnsi="仿宋" w:eastAsia="仿宋" w:cs="仿宋_GB2312"/>
          <w:sz w:val="32"/>
          <w:szCs w:val="32"/>
          <w:lang w:val="en-US" w:eastAsia="zh-CN"/>
        </w:rPr>
        <w:t>17</w:t>
      </w:r>
      <w:r>
        <w:rPr>
          <w:rFonts w:hint="eastAsia" w:ascii="仿宋" w:hAnsi="仿宋" w:eastAsia="仿宋" w:cs="仿宋_GB2312"/>
          <w:sz w:val="32"/>
          <w:szCs w:val="32"/>
        </w:rPr>
        <w:t>日。公示期间，如有异议，请以电话、信函等方式向公司监察部门反映。</w:t>
      </w:r>
    </w:p>
    <w:p w14:paraId="4154AD1B">
      <w:pPr>
        <w:spacing w:line="576"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联系咨询：公司办公室</w:t>
      </w:r>
    </w:p>
    <w:p w14:paraId="0FD2A521">
      <w:pPr>
        <w:spacing w:line="576"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监督投诉：0716-8303019</w:t>
      </w:r>
    </w:p>
    <w:p w14:paraId="65057B18">
      <w:pPr>
        <w:spacing w:line="576"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监督邮箱：</w:t>
      </w:r>
      <w:r>
        <w:fldChar w:fldCharType="begin"/>
      </w:r>
      <w:r>
        <w:instrText xml:space="preserve"> HYPERLINK "mailto:jingliban@hyccjz.com" </w:instrText>
      </w:r>
      <w:r>
        <w:fldChar w:fldCharType="separate"/>
      </w:r>
      <w:r>
        <w:rPr>
          <w:rStyle w:val="17"/>
          <w:rFonts w:ascii="仿宋" w:hAnsi="仿宋" w:eastAsia="仿宋" w:cs="仿宋_GB2312"/>
          <w:sz w:val="32"/>
          <w:szCs w:val="32"/>
        </w:rPr>
        <w:t>jingliban@hyccjz.com</w:t>
      </w:r>
      <w:r>
        <w:rPr>
          <w:rStyle w:val="17"/>
          <w:rFonts w:ascii="仿宋" w:hAnsi="仿宋" w:eastAsia="仿宋" w:cs="仿宋_GB2312"/>
          <w:sz w:val="32"/>
          <w:szCs w:val="32"/>
        </w:rPr>
        <w:fldChar w:fldCharType="end"/>
      </w:r>
    </w:p>
    <w:p w14:paraId="03A1ED4B">
      <w:pPr>
        <w:pStyle w:val="9"/>
      </w:pPr>
    </w:p>
    <w:p w14:paraId="6DB6C53E">
      <w:pPr>
        <w:spacing w:line="560" w:lineRule="exact"/>
        <w:jc w:val="center"/>
        <w:rPr>
          <w:rFonts w:ascii="仿宋_GB2312" w:hAnsi="宋体" w:eastAsia="仿宋_GB2312" w:cs="仿宋_GB2312"/>
          <w:sz w:val="32"/>
          <w:szCs w:val="32"/>
        </w:rPr>
      </w:pPr>
      <w:r>
        <w:rPr>
          <w:rFonts w:hint="eastAsia" w:ascii="仿宋_GB2312" w:hAnsi="宋体" w:eastAsia="仿宋_GB2312" w:cs="仿宋_GB2312"/>
          <w:sz w:val="32"/>
          <w:szCs w:val="32"/>
        </w:rPr>
        <w:t xml:space="preserve">               </w:t>
      </w:r>
    </w:p>
    <w:p w14:paraId="1B047F90">
      <w:pPr>
        <w:spacing w:line="560" w:lineRule="exact"/>
        <w:jc w:val="center"/>
        <w:rPr>
          <w:rFonts w:ascii="宋体" w:hAnsi="宋体" w:cs="宋体"/>
          <w:sz w:val="32"/>
          <w:szCs w:val="32"/>
        </w:rPr>
      </w:pPr>
      <w:r>
        <w:rPr>
          <w:rFonts w:hint="eastAsia" w:ascii="仿宋_GB2312" w:hAnsi="宋体" w:eastAsia="仿宋_GB2312" w:cs="仿宋_GB2312"/>
          <w:sz w:val="32"/>
          <w:szCs w:val="32"/>
        </w:rPr>
        <w:t xml:space="preserve">                         </w:t>
      </w:r>
      <w:r>
        <w:rPr>
          <w:rFonts w:hint="eastAsia" w:ascii="宋体" w:hAnsi="宋体" w:cs="宋体"/>
          <w:sz w:val="32"/>
          <w:szCs w:val="32"/>
        </w:rPr>
        <w:t>运营人事部</w:t>
      </w:r>
    </w:p>
    <w:p w14:paraId="7553691B">
      <w:pPr>
        <w:pStyle w:val="9"/>
        <w:spacing w:after="0" w:line="560" w:lineRule="exact"/>
        <w:rPr>
          <w:rFonts w:ascii="仿宋_GB2312" w:hAnsi="宋体" w:eastAsia="仿宋_GB2312" w:cs="仿宋_GB2312"/>
          <w:sz w:val="32"/>
          <w:szCs w:val="32"/>
        </w:rPr>
      </w:pPr>
      <w:r>
        <w:rPr>
          <w:rFonts w:hint="eastAsia" w:ascii="仿宋_GB2312" w:hAnsi="宋体" w:eastAsia="仿宋_GB2312" w:cs="仿宋_GB2312"/>
          <w:sz w:val="32"/>
          <w:szCs w:val="32"/>
        </w:rPr>
        <w:t xml:space="preserve">                                 202</w:t>
      </w:r>
      <w:r>
        <w:rPr>
          <w:rFonts w:hint="eastAsia" w:ascii="宋体" w:hAnsi="宋体" w:eastAsia="仿宋_GB2312" w:cs="宋体"/>
          <w:sz w:val="32"/>
          <w:szCs w:val="32"/>
          <w:lang w:val="en-US" w:eastAsia="zh-CN"/>
        </w:rPr>
        <w:t>5</w:t>
      </w:r>
      <w:r>
        <w:rPr>
          <w:rFonts w:hint="eastAsia" w:ascii="仿宋_GB2312" w:hAnsi="宋体" w:eastAsia="仿宋_GB2312" w:cs="仿宋_GB2312"/>
          <w:sz w:val="32"/>
          <w:szCs w:val="32"/>
        </w:rPr>
        <w:t>年</w:t>
      </w:r>
      <w:r>
        <w:rPr>
          <w:rFonts w:hint="eastAsia" w:ascii="仿宋_GB2312" w:hAnsi="宋体" w:eastAsia="仿宋_GB2312" w:cs="仿宋_GB2312"/>
          <w:sz w:val="32"/>
          <w:szCs w:val="32"/>
          <w:lang w:val="en-US" w:eastAsia="zh-CN"/>
        </w:rPr>
        <w:t>3</w:t>
      </w:r>
      <w:r>
        <w:rPr>
          <w:rFonts w:hint="eastAsia" w:ascii="仿宋_GB2312" w:hAnsi="宋体" w:eastAsia="仿宋_GB2312" w:cs="仿宋_GB2312"/>
          <w:sz w:val="32"/>
          <w:szCs w:val="32"/>
        </w:rPr>
        <w:t>月</w:t>
      </w:r>
      <w:r>
        <w:rPr>
          <w:rFonts w:hint="eastAsia" w:ascii="仿宋_GB2312" w:hAnsi="宋体" w:eastAsia="仿宋_GB2312" w:cs="仿宋_GB2312"/>
          <w:sz w:val="32"/>
          <w:szCs w:val="32"/>
          <w:lang w:val="en-US" w:eastAsia="zh-CN"/>
        </w:rPr>
        <w:t>11</w:t>
      </w:r>
      <w:r>
        <w:rPr>
          <w:rFonts w:hint="eastAsia" w:ascii="仿宋_GB2312" w:hAnsi="宋体" w:eastAsia="仿宋_GB2312" w:cs="仿宋_GB2312"/>
          <w:sz w:val="32"/>
          <w:szCs w:val="32"/>
        </w:rPr>
        <w:t>日</w:t>
      </w:r>
    </w:p>
    <w:p w14:paraId="2AD9ED32"/>
    <w:p w14:paraId="0A14D0E5">
      <w:pPr>
        <w:pStyle w:val="9"/>
      </w:pPr>
    </w:p>
    <w:p w14:paraId="69F4CEF3"/>
    <w:p w14:paraId="7EA3C0AE"/>
    <w:p w14:paraId="791C6970">
      <w:pPr>
        <w:pStyle w:val="9"/>
      </w:pPr>
    </w:p>
    <w:p w14:paraId="03453204">
      <w:pPr>
        <w:rPr>
          <w:rFonts w:hint="eastAsia"/>
        </w:rPr>
      </w:pPr>
    </w:p>
    <w:p w14:paraId="490723E1"/>
    <w:p w14:paraId="518743A2">
      <w:pPr>
        <w:pStyle w:val="9"/>
        <w:rPr>
          <w:b/>
        </w:rPr>
      </w:pPr>
      <w:r>
        <w:rPr>
          <w:rFonts w:hint="eastAsia"/>
          <w:b/>
        </w:rPr>
        <w:t>附件:华意压缩机（荆州）有限公司招聘人员基本信息</w:t>
      </w:r>
    </w:p>
    <w:tbl>
      <w:tblPr>
        <w:tblStyle w:val="13"/>
        <w:tblW w:w="11292" w:type="dxa"/>
        <w:tblInd w:w="-1098" w:type="dxa"/>
        <w:tblLayout w:type="fixed"/>
        <w:tblCellMar>
          <w:top w:w="0" w:type="dxa"/>
          <w:left w:w="108" w:type="dxa"/>
          <w:bottom w:w="0" w:type="dxa"/>
          <w:right w:w="108" w:type="dxa"/>
        </w:tblCellMar>
      </w:tblPr>
      <w:tblGrid>
        <w:gridCol w:w="376"/>
        <w:gridCol w:w="1062"/>
        <w:gridCol w:w="862"/>
        <w:gridCol w:w="1163"/>
        <w:gridCol w:w="731"/>
        <w:gridCol w:w="535"/>
        <w:gridCol w:w="515"/>
        <w:gridCol w:w="994"/>
        <w:gridCol w:w="707"/>
        <w:gridCol w:w="718"/>
        <w:gridCol w:w="1912"/>
        <w:gridCol w:w="1717"/>
      </w:tblGrid>
      <w:tr w14:paraId="47082BC9">
        <w:tblPrEx>
          <w:tblCellMar>
            <w:top w:w="0" w:type="dxa"/>
            <w:left w:w="108" w:type="dxa"/>
            <w:bottom w:w="0" w:type="dxa"/>
            <w:right w:w="108" w:type="dxa"/>
          </w:tblCellMar>
        </w:tblPrEx>
        <w:trPr>
          <w:trHeight w:val="495" w:hRule="atLeast"/>
        </w:trPr>
        <w:tc>
          <w:tcPr>
            <w:tcW w:w="376" w:type="dxa"/>
            <w:tcBorders>
              <w:top w:val="single" w:color="auto" w:sz="4" w:space="0"/>
              <w:left w:val="single" w:color="auto" w:sz="4" w:space="0"/>
              <w:bottom w:val="single" w:color="auto" w:sz="4" w:space="0"/>
              <w:right w:val="single" w:color="auto" w:sz="4" w:space="0"/>
            </w:tcBorders>
            <w:shd w:val="clear" w:color="auto" w:fill="auto"/>
            <w:vAlign w:val="center"/>
          </w:tcPr>
          <w:p w14:paraId="7DEA5B55">
            <w:pPr>
              <w:widowControl/>
              <w:jc w:val="center"/>
              <w:rPr>
                <w:rFonts w:ascii="宋体" w:hAnsi="宋体" w:cs="宋体"/>
                <w:color w:val="000000"/>
                <w:kern w:val="0"/>
                <w:sz w:val="16"/>
                <w:szCs w:val="16"/>
              </w:rPr>
            </w:pPr>
            <w:r>
              <w:rPr>
                <w:rFonts w:hint="eastAsia" w:ascii="宋体" w:hAnsi="宋体" w:cs="宋体"/>
                <w:color w:val="000000"/>
                <w:kern w:val="0"/>
                <w:sz w:val="16"/>
                <w:szCs w:val="16"/>
              </w:rPr>
              <w:t>序号</w:t>
            </w:r>
          </w:p>
        </w:tc>
        <w:tc>
          <w:tcPr>
            <w:tcW w:w="1062" w:type="dxa"/>
            <w:tcBorders>
              <w:top w:val="single" w:color="auto" w:sz="4" w:space="0"/>
              <w:left w:val="nil"/>
              <w:bottom w:val="single" w:color="auto" w:sz="4" w:space="0"/>
              <w:right w:val="single" w:color="auto" w:sz="4" w:space="0"/>
            </w:tcBorders>
            <w:shd w:val="clear" w:color="auto" w:fill="auto"/>
            <w:vAlign w:val="center"/>
          </w:tcPr>
          <w:p w14:paraId="5C2BCB8A">
            <w:pPr>
              <w:widowControl/>
              <w:jc w:val="center"/>
              <w:rPr>
                <w:rFonts w:ascii="宋体" w:hAnsi="宋体" w:cs="宋体"/>
                <w:color w:val="000000"/>
                <w:kern w:val="0"/>
                <w:sz w:val="16"/>
                <w:szCs w:val="16"/>
              </w:rPr>
            </w:pPr>
            <w:r>
              <w:rPr>
                <w:rFonts w:hint="eastAsia" w:ascii="宋体" w:hAnsi="宋体" w:cs="宋体"/>
                <w:color w:val="000000"/>
                <w:kern w:val="0"/>
                <w:sz w:val="16"/>
                <w:szCs w:val="16"/>
              </w:rPr>
              <w:t>部门</w:t>
            </w:r>
          </w:p>
        </w:tc>
        <w:tc>
          <w:tcPr>
            <w:tcW w:w="862" w:type="dxa"/>
            <w:tcBorders>
              <w:top w:val="single" w:color="auto" w:sz="4" w:space="0"/>
              <w:left w:val="nil"/>
              <w:bottom w:val="single" w:color="auto" w:sz="4" w:space="0"/>
              <w:right w:val="single" w:color="auto" w:sz="4" w:space="0"/>
            </w:tcBorders>
            <w:shd w:val="clear" w:color="auto" w:fill="auto"/>
            <w:vAlign w:val="center"/>
          </w:tcPr>
          <w:p w14:paraId="1E78D6C6">
            <w:pPr>
              <w:widowControl/>
              <w:jc w:val="center"/>
              <w:rPr>
                <w:rFonts w:ascii="宋体" w:hAnsi="宋体" w:cs="宋体"/>
                <w:color w:val="000000"/>
                <w:kern w:val="0"/>
                <w:sz w:val="16"/>
                <w:szCs w:val="16"/>
              </w:rPr>
            </w:pPr>
            <w:r>
              <w:rPr>
                <w:rFonts w:hint="eastAsia" w:ascii="宋体" w:hAnsi="宋体" w:cs="宋体"/>
                <w:color w:val="000000"/>
                <w:kern w:val="0"/>
                <w:sz w:val="16"/>
                <w:szCs w:val="16"/>
              </w:rPr>
              <w:t>岗位名称</w:t>
            </w:r>
          </w:p>
        </w:tc>
        <w:tc>
          <w:tcPr>
            <w:tcW w:w="1163" w:type="dxa"/>
            <w:tcBorders>
              <w:top w:val="single" w:color="auto" w:sz="4" w:space="0"/>
              <w:left w:val="nil"/>
              <w:bottom w:val="single" w:color="auto" w:sz="4" w:space="0"/>
              <w:right w:val="single" w:color="auto" w:sz="4" w:space="0"/>
            </w:tcBorders>
            <w:shd w:val="clear" w:color="auto" w:fill="auto"/>
            <w:vAlign w:val="center"/>
          </w:tcPr>
          <w:p w14:paraId="56F50EFB">
            <w:pPr>
              <w:widowControl/>
              <w:jc w:val="center"/>
              <w:rPr>
                <w:rFonts w:ascii="宋体" w:hAnsi="宋体" w:cs="宋体"/>
                <w:color w:val="000000"/>
                <w:kern w:val="0"/>
                <w:sz w:val="16"/>
                <w:szCs w:val="16"/>
              </w:rPr>
            </w:pPr>
            <w:r>
              <w:rPr>
                <w:rFonts w:hint="eastAsia" w:ascii="宋体" w:hAnsi="宋体" w:cs="宋体"/>
                <w:color w:val="000000"/>
                <w:kern w:val="0"/>
                <w:sz w:val="16"/>
                <w:szCs w:val="16"/>
              </w:rPr>
              <w:t>岗位任职要求</w:t>
            </w:r>
          </w:p>
        </w:tc>
        <w:tc>
          <w:tcPr>
            <w:tcW w:w="731" w:type="dxa"/>
            <w:tcBorders>
              <w:top w:val="single" w:color="auto" w:sz="4" w:space="0"/>
              <w:left w:val="nil"/>
              <w:bottom w:val="single" w:color="auto" w:sz="4" w:space="0"/>
              <w:right w:val="single" w:color="auto" w:sz="4" w:space="0"/>
            </w:tcBorders>
            <w:shd w:val="clear" w:color="auto" w:fill="auto"/>
            <w:vAlign w:val="center"/>
          </w:tcPr>
          <w:p w14:paraId="06C1EC1F">
            <w:pPr>
              <w:widowControl/>
              <w:jc w:val="center"/>
              <w:rPr>
                <w:rFonts w:ascii="宋体" w:hAnsi="宋体" w:cs="宋体"/>
                <w:color w:val="000000"/>
                <w:kern w:val="0"/>
                <w:sz w:val="16"/>
                <w:szCs w:val="16"/>
              </w:rPr>
            </w:pPr>
            <w:r>
              <w:rPr>
                <w:rFonts w:hint="eastAsia" w:ascii="宋体" w:hAnsi="宋体" w:cs="宋体"/>
                <w:color w:val="000000"/>
                <w:kern w:val="0"/>
                <w:sz w:val="16"/>
                <w:szCs w:val="16"/>
              </w:rPr>
              <w:t>拟录用 人选</w:t>
            </w:r>
          </w:p>
        </w:tc>
        <w:tc>
          <w:tcPr>
            <w:tcW w:w="535" w:type="dxa"/>
            <w:tcBorders>
              <w:top w:val="single" w:color="auto" w:sz="4" w:space="0"/>
              <w:left w:val="nil"/>
              <w:bottom w:val="single" w:color="auto" w:sz="4" w:space="0"/>
              <w:right w:val="single" w:color="auto" w:sz="4" w:space="0"/>
            </w:tcBorders>
            <w:shd w:val="clear" w:color="auto" w:fill="auto"/>
            <w:vAlign w:val="center"/>
          </w:tcPr>
          <w:p w14:paraId="404C8538">
            <w:pPr>
              <w:widowControl/>
              <w:jc w:val="center"/>
              <w:rPr>
                <w:rFonts w:ascii="宋体" w:hAnsi="宋体" w:cs="宋体"/>
                <w:color w:val="000000"/>
                <w:kern w:val="0"/>
                <w:sz w:val="16"/>
                <w:szCs w:val="16"/>
              </w:rPr>
            </w:pPr>
            <w:r>
              <w:rPr>
                <w:rFonts w:hint="eastAsia" w:ascii="宋体" w:hAnsi="宋体" w:cs="宋体"/>
                <w:color w:val="000000"/>
                <w:kern w:val="0"/>
                <w:sz w:val="16"/>
                <w:szCs w:val="16"/>
              </w:rPr>
              <w:t>综合成绩排名</w:t>
            </w:r>
          </w:p>
        </w:tc>
        <w:tc>
          <w:tcPr>
            <w:tcW w:w="515" w:type="dxa"/>
            <w:tcBorders>
              <w:top w:val="single" w:color="auto" w:sz="4" w:space="0"/>
              <w:left w:val="nil"/>
              <w:bottom w:val="single" w:color="auto" w:sz="4" w:space="0"/>
              <w:right w:val="single" w:color="auto" w:sz="4" w:space="0"/>
            </w:tcBorders>
            <w:shd w:val="clear" w:color="auto" w:fill="auto"/>
            <w:vAlign w:val="center"/>
          </w:tcPr>
          <w:p w14:paraId="4093C245">
            <w:pPr>
              <w:widowControl/>
              <w:jc w:val="center"/>
              <w:rPr>
                <w:rFonts w:ascii="宋体" w:hAnsi="宋体" w:cs="宋体"/>
                <w:color w:val="000000"/>
                <w:kern w:val="0"/>
                <w:sz w:val="16"/>
                <w:szCs w:val="16"/>
              </w:rPr>
            </w:pPr>
            <w:r>
              <w:rPr>
                <w:rFonts w:hint="eastAsia" w:ascii="宋体" w:hAnsi="宋体" w:cs="宋体"/>
                <w:color w:val="000000"/>
                <w:kern w:val="0"/>
                <w:sz w:val="16"/>
                <w:szCs w:val="16"/>
              </w:rPr>
              <w:t>性别</w:t>
            </w:r>
          </w:p>
        </w:tc>
        <w:tc>
          <w:tcPr>
            <w:tcW w:w="994" w:type="dxa"/>
            <w:tcBorders>
              <w:top w:val="single" w:color="auto" w:sz="4" w:space="0"/>
              <w:left w:val="nil"/>
              <w:bottom w:val="single" w:color="auto" w:sz="4" w:space="0"/>
              <w:right w:val="single" w:color="auto" w:sz="4" w:space="0"/>
            </w:tcBorders>
            <w:shd w:val="clear" w:color="auto" w:fill="auto"/>
            <w:vAlign w:val="center"/>
          </w:tcPr>
          <w:p w14:paraId="56AF0929">
            <w:pPr>
              <w:widowControl/>
              <w:jc w:val="center"/>
              <w:rPr>
                <w:rFonts w:ascii="宋体" w:hAnsi="宋体" w:cs="宋体"/>
                <w:color w:val="000000"/>
                <w:kern w:val="0"/>
                <w:sz w:val="16"/>
                <w:szCs w:val="16"/>
              </w:rPr>
            </w:pPr>
            <w:r>
              <w:rPr>
                <w:rFonts w:hint="eastAsia" w:ascii="宋体" w:hAnsi="宋体" w:cs="宋体"/>
                <w:color w:val="000000"/>
                <w:kern w:val="0"/>
                <w:sz w:val="16"/>
                <w:szCs w:val="16"/>
              </w:rPr>
              <w:t>籍贯</w:t>
            </w:r>
          </w:p>
        </w:tc>
        <w:tc>
          <w:tcPr>
            <w:tcW w:w="707" w:type="dxa"/>
            <w:tcBorders>
              <w:top w:val="single" w:color="auto" w:sz="4" w:space="0"/>
              <w:left w:val="nil"/>
              <w:bottom w:val="single" w:color="auto" w:sz="4" w:space="0"/>
              <w:right w:val="single" w:color="auto" w:sz="4" w:space="0"/>
            </w:tcBorders>
            <w:shd w:val="clear" w:color="auto" w:fill="auto"/>
            <w:vAlign w:val="center"/>
          </w:tcPr>
          <w:p w14:paraId="2E322BA1">
            <w:pPr>
              <w:widowControl/>
              <w:jc w:val="center"/>
              <w:rPr>
                <w:rFonts w:ascii="宋体" w:hAnsi="宋体" w:cs="宋体"/>
                <w:color w:val="000000"/>
                <w:kern w:val="0"/>
                <w:sz w:val="16"/>
                <w:szCs w:val="16"/>
              </w:rPr>
            </w:pPr>
            <w:r>
              <w:rPr>
                <w:rFonts w:hint="eastAsia" w:ascii="宋体" w:hAnsi="宋体" w:cs="宋体"/>
                <w:color w:val="000000"/>
                <w:kern w:val="0"/>
                <w:sz w:val="16"/>
                <w:szCs w:val="16"/>
              </w:rPr>
              <w:t>年龄</w:t>
            </w:r>
          </w:p>
        </w:tc>
        <w:tc>
          <w:tcPr>
            <w:tcW w:w="718" w:type="dxa"/>
            <w:tcBorders>
              <w:top w:val="single" w:color="auto" w:sz="4" w:space="0"/>
              <w:left w:val="nil"/>
              <w:bottom w:val="single" w:color="auto" w:sz="4" w:space="0"/>
              <w:right w:val="single" w:color="auto" w:sz="4" w:space="0"/>
            </w:tcBorders>
            <w:shd w:val="clear" w:color="auto" w:fill="auto"/>
            <w:vAlign w:val="center"/>
          </w:tcPr>
          <w:p w14:paraId="7D9D976D">
            <w:pPr>
              <w:widowControl/>
              <w:jc w:val="center"/>
              <w:rPr>
                <w:rFonts w:ascii="宋体" w:hAnsi="宋体" w:cs="宋体"/>
                <w:color w:val="000000"/>
                <w:kern w:val="0"/>
                <w:sz w:val="16"/>
                <w:szCs w:val="16"/>
              </w:rPr>
            </w:pPr>
            <w:r>
              <w:rPr>
                <w:rFonts w:hint="eastAsia" w:ascii="宋体" w:hAnsi="宋体" w:cs="宋体"/>
                <w:color w:val="000000"/>
                <w:kern w:val="0"/>
                <w:sz w:val="16"/>
                <w:szCs w:val="16"/>
              </w:rPr>
              <w:t>学历</w:t>
            </w:r>
          </w:p>
        </w:tc>
        <w:tc>
          <w:tcPr>
            <w:tcW w:w="1912" w:type="dxa"/>
            <w:tcBorders>
              <w:top w:val="single" w:color="auto" w:sz="4" w:space="0"/>
              <w:left w:val="nil"/>
              <w:bottom w:val="single" w:color="auto" w:sz="4" w:space="0"/>
              <w:right w:val="single" w:color="auto" w:sz="4" w:space="0"/>
            </w:tcBorders>
            <w:shd w:val="clear" w:color="auto" w:fill="auto"/>
            <w:vAlign w:val="center"/>
          </w:tcPr>
          <w:p w14:paraId="42D4B32C">
            <w:pPr>
              <w:widowControl/>
              <w:jc w:val="center"/>
              <w:rPr>
                <w:rFonts w:ascii="宋体" w:hAnsi="宋体" w:cs="宋体"/>
                <w:color w:val="000000"/>
                <w:kern w:val="0"/>
                <w:sz w:val="16"/>
                <w:szCs w:val="16"/>
              </w:rPr>
            </w:pPr>
            <w:r>
              <w:rPr>
                <w:rFonts w:hint="eastAsia" w:ascii="宋体" w:hAnsi="宋体" w:cs="宋体"/>
                <w:color w:val="000000"/>
                <w:kern w:val="0"/>
                <w:sz w:val="16"/>
                <w:szCs w:val="16"/>
              </w:rPr>
              <w:t>毕业院校</w:t>
            </w:r>
          </w:p>
        </w:tc>
        <w:tc>
          <w:tcPr>
            <w:tcW w:w="1717" w:type="dxa"/>
            <w:tcBorders>
              <w:top w:val="single" w:color="auto" w:sz="4" w:space="0"/>
              <w:left w:val="nil"/>
              <w:bottom w:val="single" w:color="auto" w:sz="4" w:space="0"/>
              <w:right w:val="single" w:color="auto" w:sz="4" w:space="0"/>
            </w:tcBorders>
            <w:shd w:val="clear" w:color="auto" w:fill="auto"/>
            <w:vAlign w:val="center"/>
          </w:tcPr>
          <w:p w14:paraId="2902CDB1">
            <w:pPr>
              <w:widowControl/>
              <w:jc w:val="center"/>
              <w:rPr>
                <w:rFonts w:ascii="宋体" w:hAnsi="宋体" w:cs="宋体"/>
                <w:color w:val="000000"/>
                <w:kern w:val="0"/>
                <w:sz w:val="16"/>
                <w:szCs w:val="16"/>
              </w:rPr>
            </w:pPr>
            <w:r>
              <w:rPr>
                <w:rFonts w:hint="eastAsia" w:ascii="宋体" w:hAnsi="宋体" w:cs="宋体"/>
                <w:color w:val="000000"/>
                <w:kern w:val="0"/>
                <w:sz w:val="16"/>
                <w:szCs w:val="16"/>
              </w:rPr>
              <w:t>专业</w:t>
            </w:r>
          </w:p>
        </w:tc>
      </w:tr>
      <w:tr w14:paraId="6E597957">
        <w:tblPrEx>
          <w:tblCellMar>
            <w:top w:w="0" w:type="dxa"/>
            <w:left w:w="108" w:type="dxa"/>
            <w:bottom w:w="0" w:type="dxa"/>
            <w:right w:w="108" w:type="dxa"/>
          </w:tblCellMar>
        </w:tblPrEx>
        <w:trPr>
          <w:trHeight w:val="420" w:hRule="atLeast"/>
        </w:trPr>
        <w:tc>
          <w:tcPr>
            <w:tcW w:w="376" w:type="dxa"/>
            <w:tcBorders>
              <w:top w:val="nil"/>
              <w:left w:val="single" w:color="auto" w:sz="4" w:space="0"/>
              <w:bottom w:val="single" w:color="auto" w:sz="4" w:space="0"/>
              <w:right w:val="single" w:color="auto" w:sz="4" w:space="0"/>
            </w:tcBorders>
            <w:shd w:val="clear" w:color="auto" w:fill="auto"/>
            <w:noWrap/>
            <w:vAlign w:val="center"/>
          </w:tcPr>
          <w:p w14:paraId="3BBEF001">
            <w:pPr>
              <w:widowControl/>
              <w:jc w:val="center"/>
              <w:rPr>
                <w:rFonts w:ascii="宋体" w:hAnsi="宋体" w:cs="宋体"/>
                <w:color w:val="000000"/>
                <w:kern w:val="0"/>
                <w:sz w:val="16"/>
                <w:szCs w:val="16"/>
              </w:rPr>
            </w:pPr>
            <w:r>
              <w:rPr>
                <w:rFonts w:hint="eastAsia" w:ascii="宋体" w:hAnsi="宋体" w:cs="宋体"/>
                <w:color w:val="000000"/>
                <w:kern w:val="0"/>
                <w:sz w:val="16"/>
                <w:szCs w:val="16"/>
              </w:rPr>
              <w:t>1</w:t>
            </w:r>
          </w:p>
        </w:tc>
        <w:tc>
          <w:tcPr>
            <w:tcW w:w="1062" w:type="dxa"/>
            <w:tcBorders>
              <w:top w:val="nil"/>
              <w:left w:val="nil"/>
              <w:bottom w:val="single" w:color="auto" w:sz="4" w:space="0"/>
              <w:right w:val="single" w:color="auto" w:sz="4" w:space="0"/>
            </w:tcBorders>
            <w:shd w:val="clear" w:color="auto" w:fill="auto"/>
            <w:noWrap/>
            <w:vAlign w:val="center"/>
          </w:tcPr>
          <w:p w14:paraId="1CFABB5F">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技术开发部</w:t>
            </w:r>
          </w:p>
        </w:tc>
        <w:tc>
          <w:tcPr>
            <w:tcW w:w="862" w:type="dxa"/>
            <w:tcBorders>
              <w:top w:val="nil"/>
              <w:left w:val="nil"/>
              <w:bottom w:val="single" w:color="auto" w:sz="4" w:space="0"/>
              <w:right w:val="single" w:color="auto" w:sz="4" w:space="0"/>
            </w:tcBorders>
            <w:shd w:val="clear" w:color="auto" w:fill="auto"/>
            <w:noWrap/>
            <w:vAlign w:val="center"/>
          </w:tcPr>
          <w:p w14:paraId="224DCB09">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售前匹配工程师</w:t>
            </w:r>
          </w:p>
        </w:tc>
        <w:tc>
          <w:tcPr>
            <w:tcW w:w="1163" w:type="dxa"/>
            <w:tcBorders>
              <w:top w:val="nil"/>
              <w:left w:val="nil"/>
              <w:bottom w:val="single" w:color="auto" w:sz="4" w:space="0"/>
              <w:right w:val="single" w:color="auto" w:sz="4" w:space="0"/>
            </w:tcBorders>
            <w:shd w:val="clear" w:color="auto" w:fill="auto"/>
            <w:noWrap/>
            <w:vAlign w:val="center"/>
          </w:tcPr>
          <w:p w14:paraId="7383F347">
            <w:pPr>
              <w:pStyle w:val="11"/>
              <w:numPr>
                <w:ilvl w:val="0"/>
                <w:numId w:val="0"/>
              </w:numPr>
              <w:spacing w:before="0" w:beforeAutospacing="0" w:after="0" w:afterAutospacing="0" w:line="360" w:lineRule="exact"/>
              <w:ind w:leftChars="0"/>
              <w:rPr>
                <w:rFonts w:hint="eastAsia" w:ascii="宋体" w:hAnsi="宋体" w:eastAsia="宋体" w:cs="宋体"/>
                <w:color w:val="000000"/>
                <w:kern w:val="0"/>
                <w:sz w:val="16"/>
                <w:szCs w:val="16"/>
                <w:lang w:val="en-US" w:eastAsia="zh-CN" w:bidi="ar-SA"/>
              </w:rPr>
            </w:pPr>
            <w:r>
              <w:rPr>
                <w:rFonts w:hint="eastAsia" w:ascii="宋体" w:hAnsi="宋体" w:eastAsia="宋体" w:cs="宋体"/>
                <w:color w:val="000000"/>
                <w:kern w:val="0"/>
                <w:sz w:val="16"/>
                <w:szCs w:val="16"/>
                <w:lang w:val="en-US" w:eastAsia="zh-CN" w:bidi="ar-SA"/>
              </w:rPr>
              <w:t>1、根据客户和项目需要完成技术交流，并形成解决方案；</w:t>
            </w:r>
          </w:p>
          <w:p w14:paraId="2818D6D8">
            <w:pPr>
              <w:pStyle w:val="11"/>
              <w:numPr>
                <w:ilvl w:val="0"/>
                <w:numId w:val="0"/>
              </w:numPr>
              <w:spacing w:before="0" w:beforeAutospacing="0" w:after="0" w:afterAutospacing="0" w:line="360" w:lineRule="exact"/>
              <w:ind w:leftChars="0"/>
              <w:rPr>
                <w:rFonts w:hint="eastAsia" w:ascii="宋体" w:hAnsi="宋体" w:eastAsia="宋体" w:cs="宋体"/>
                <w:color w:val="000000"/>
                <w:kern w:val="0"/>
                <w:sz w:val="16"/>
                <w:szCs w:val="16"/>
                <w:lang w:val="en-US" w:eastAsia="zh-CN" w:bidi="ar-SA"/>
              </w:rPr>
            </w:pPr>
            <w:r>
              <w:rPr>
                <w:rFonts w:hint="eastAsia" w:ascii="宋体" w:hAnsi="宋体" w:eastAsia="宋体" w:cs="宋体"/>
                <w:color w:val="000000"/>
                <w:kern w:val="0"/>
                <w:sz w:val="16"/>
                <w:szCs w:val="16"/>
                <w:lang w:val="en-US" w:eastAsia="zh-CN" w:bidi="ar-SA"/>
              </w:rPr>
              <w:t>2、负责公司（战略性）安全项目的售前支持，包括但不限于售前咨询、整体规划及应答等；</w:t>
            </w:r>
          </w:p>
          <w:p w14:paraId="5BF6DAE2">
            <w:pPr>
              <w:pStyle w:val="11"/>
              <w:numPr>
                <w:ilvl w:val="0"/>
                <w:numId w:val="0"/>
              </w:numPr>
              <w:spacing w:before="0" w:beforeAutospacing="0" w:after="0" w:afterAutospacing="0" w:line="360" w:lineRule="exact"/>
              <w:ind w:leftChars="0"/>
              <w:rPr>
                <w:rFonts w:hint="eastAsia" w:ascii="宋体" w:hAnsi="宋体" w:eastAsia="宋体" w:cs="宋体"/>
                <w:color w:val="000000"/>
                <w:kern w:val="0"/>
                <w:sz w:val="16"/>
                <w:szCs w:val="16"/>
                <w:lang w:val="en-US" w:eastAsia="zh-CN" w:bidi="ar-SA"/>
              </w:rPr>
            </w:pPr>
            <w:r>
              <w:rPr>
                <w:rFonts w:hint="eastAsia" w:ascii="宋体" w:hAnsi="宋体" w:eastAsia="宋体" w:cs="宋体"/>
                <w:color w:val="000000"/>
                <w:kern w:val="0"/>
                <w:sz w:val="16"/>
                <w:szCs w:val="16"/>
                <w:lang w:val="en-US" w:eastAsia="zh-CN" w:bidi="ar-SA"/>
              </w:rPr>
              <w:t>3、协助销售人员在项目实施过程进行沟通、服务、技术支持，完成销售任务；</w:t>
            </w:r>
          </w:p>
          <w:p w14:paraId="2837F5B5">
            <w:pPr>
              <w:pStyle w:val="11"/>
              <w:numPr>
                <w:ilvl w:val="0"/>
                <w:numId w:val="0"/>
              </w:numPr>
              <w:spacing w:before="0" w:beforeAutospacing="0" w:after="0" w:afterAutospacing="0" w:line="360" w:lineRule="exact"/>
              <w:ind w:leftChars="0"/>
              <w:rPr>
                <w:rFonts w:hint="eastAsia" w:ascii="宋体" w:hAnsi="宋体" w:eastAsia="宋体" w:cs="宋体"/>
                <w:color w:val="000000"/>
                <w:kern w:val="0"/>
                <w:sz w:val="16"/>
                <w:szCs w:val="16"/>
                <w:lang w:val="en-US" w:eastAsia="zh-CN" w:bidi="ar-SA"/>
              </w:rPr>
            </w:pPr>
            <w:r>
              <w:rPr>
                <w:rFonts w:hint="eastAsia" w:ascii="宋体" w:hAnsi="宋体" w:eastAsia="宋体" w:cs="宋体"/>
                <w:color w:val="000000"/>
                <w:kern w:val="0"/>
                <w:sz w:val="16"/>
                <w:szCs w:val="16"/>
                <w:lang w:val="en-US" w:eastAsia="zh-CN" w:bidi="ar-SA"/>
              </w:rPr>
              <w:t>4、完成领导交办的其他工作。</w:t>
            </w:r>
          </w:p>
          <w:p w14:paraId="6882D6C7">
            <w:pPr>
              <w:widowControl/>
              <w:jc w:val="left"/>
              <w:rPr>
                <w:rFonts w:ascii="宋体" w:hAnsi="宋体" w:cs="宋体"/>
                <w:color w:val="000000"/>
                <w:kern w:val="0"/>
                <w:sz w:val="16"/>
                <w:szCs w:val="16"/>
              </w:rPr>
            </w:pPr>
          </w:p>
        </w:tc>
        <w:tc>
          <w:tcPr>
            <w:tcW w:w="731" w:type="dxa"/>
            <w:tcBorders>
              <w:top w:val="nil"/>
              <w:left w:val="nil"/>
              <w:bottom w:val="single" w:color="auto" w:sz="4" w:space="0"/>
              <w:right w:val="single" w:color="auto" w:sz="4" w:space="0"/>
            </w:tcBorders>
            <w:shd w:val="clear" w:color="auto" w:fill="auto"/>
            <w:noWrap/>
            <w:vAlign w:val="center"/>
          </w:tcPr>
          <w:p w14:paraId="7E13BB92">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张帆</w:t>
            </w:r>
          </w:p>
        </w:tc>
        <w:tc>
          <w:tcPr>
            <w:tcW w:w="535" w:type="dxa"/>
            <w:tcBorders>
              <w:top w:val="nil"/>
              <w:left w:val="nil"/>
              <w:bottom w:val="single" w:color="auto" w:sz="4" w:space="0"/>
              <w:right w:val="single" w:color="auto" w:sz="4" w:space="0"/>
            </w:tcBorders>
            <w:shd w:val="clear" w:color="auto" w:fill="auto"/>
            <w:noWrap/>
            <w:vAlign w:val="center"/>
          </w:tcPr>
          <w:p w14:paraId="12EA3066">
            <w:pPr>
              <w:widowControl/>
              <w:jc w:val="center"/>
              <w:rPr>
                <w:rFonts w:ascii="宋体" w:hAnsi="宋体" w:cs="宋体"/>
                <w:color w:val="000000"/>
                <w:kern w:val="0"/>
                <w:sz w:val="16"/>
                <w:szCs w:val="16"/>
              </w:rPr>
            </w:pPr>
            <w:r>
              <w:rPr>
                <w:rFonts w:hint="eastAsia" w:ascii="宋体" w:hAnsi="宋体" w:cs="宋体"/>
                <w:color w:val="000000"/>
                <w:kern w:val="0"/>
                <w:sz w:val="16"/>
                <w:szCs w:val="16"/>
                <w:lang w:val="en-US" w:eastAsia="zh-CN"/>
              </w:rPr>
              <w:t>1</w:t>
            </w:r>
            <w:r>
              <w:rPr>
                <w:rFonts w:hint="eastAsia" w:ascii="宋体" w:hAnsi="宋体" w:cs="宋体"/>
                <w:color w:val="000000"/>
                <w:kern w:val="0"/>
                <w:sz w:val="16"/>
                <w:szCs w:val="16"/>
              </w:rPr>
              <w:t>　</w:t>
            </w:r>
          </w:p>
        </w:tc>
        <w:tc>
          <w:tcPr>
            <w:tcW w:w="515" w:type="dxa"/>
            <w:tcBorders>
              <w:top w:val="nil"/>
              <w:left w:val="nil"/>
              <w:bottom w:val="single" w:color="auto" w:sz="4" w:space="0"/>
              <w:right w:val="single" w:color="auto" w:sz="4" w:space="0"/>
            </w:tcBorders>
            <w:shd w:val="clear" w:color="auto" w:fill="auto"/>
            <w:noWrap/>
            <w:vAlign w:val="center"/>
          </w:tcPr>
          <w:p w14:paraId="4C1A4653">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男</w:t>
            </w:r>
          </w:p>
        </w:tc>
        <w:tc>
          <w:tcPr>
            <w:tcW w:w="994" w:type="dxa"/>
            <w:tcBorders>
              <w:top w:val="nil"/>
              <w:left w:val="nil"/>
              <w:bottom w:val="single" w:color="auto" w:sz="4" w:space="0"/>
              <w:right w:val="single" w:color="auto" w:sz="4" w:space="0"/>
            </w:tcBorders>
            <w:shd w:val="clear" w:color="auto" w:fill="auto"/>
            <w:noWrap/>
            <w:vAlign w:val="center"/>
          </w:tcPr>
          <w:p w14:paraId="2DD29A43">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江西吉安</w:t>
            </w:r>
          </w:p>
        </w:tc>
        <w:tc>
          <w:tcPr>
            <w:tcW w:w="707" w:type="dxa"/>
            <w:tcBorders>
              <w:top w:val="nil"/>
              <w:left w:val="nil"/>
              <w:bottom w:val="single" w:color="auto" w:sz="4" w:space="0"/>
              <w:right w:val="single" w:color="auto" w:sz="4" w:space="0"/>
            </w:tcBorders>
            <w:shd w:val="clear" w:color="auto" w:fill="auto"/>
            <w:noWrap/>
            <w:vAlign w:val="center"/>
          </w:tcPr>
          <w:p w14:paraId="10B7640B">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22</w:t>
            </w:r>
          </w:p>
        </w:tc>
        <w:tc>
          <w:tcPr>
            <w:tcW w:w="718" w:type="dxa"/>
            <w:tcBorders>
              <w:top w:val="nil"/>
              <w:left w:val="nil"/>
              <w:bottom w:val="single" w:color="auto" w:sz="4" w:space="0"/>
              <w:right w:val="single" w:color="auto" w:sz="4" w:space="0"/>
            </w:tcBorders>
            <w:shd w:val="clear" w:color="auto" w:fill="auto"/>
            <w:noWrap/>
            <w:vAlign w:val="center"/>
          </w:tcPr>
          <w:p w14:paraId="188E5395">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本科</w:t>
            </w:r>
          </w:p>
        </w:tc>
        <w:tc>
          <w:tcPr>
            <w:tcW w:w="1912" w:type="dxa"/>
            <w:tcBorders>
              <w:top w:val="nil"/>
              <w:left w:val="nil"/>
              <w:bottom w:val="single" w:color="auto" w:sz="4" w:space="0"/>
              <w:right w:val="single" w:color="auto" w:sz="4" w:space="0"/>
            </w:tcBorders>
            <w:shd w:val="clear" w:color="auto" w:fill="auto"/>
            <w:noWrap/>
            <w:vAlign w:val="center"/>
          </w:tcPr>
          <w:p w14:paraId="1E3B6947">
            <w:pPr>
              <w:widowControl/>
              <w:jc w:val="center"/>
              <w:rPr>
                <w:rFonts w:hint="default"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南昌大学科学技术学院</w:t>
            </w:r>
          </w:p>
        </w:tc>
        <w:tc>
          <w:tcPr>
            <w:tcW w:w="1717" w:type="dxa"/>
            <w:tcBorders>
              <w:top w:val="nil"/>
              <w:left w:val="nil"/>
              <w:bottom w:val="single" w:color="auto" w:sz="4" w:space="0"/>
              <w:right w:val="single" w:color="auto" w:sz="4" w:space="0"/>
            </w:tcBorders>
            <w:shd w:val="clear" w:color="auto" w:fill="auto"/>
            <w:noWrap/>
            <w:vAlign w:val="center"/>
          </w:tcPr>
          <w:p w14:paraId="4CC1818B">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通讯工程</w:t>
            </w:r>
          </w:p>
        </w:tc>
      </w:tr>
      <w:tr w14:paraId="535F4D5F">
        <w:tblPrEx>
          <w:tblCellMar>
            <w:top w:w="0" w:type="dxa"/>
            <w:left w:w="108" w:type="dxa"/>
            <w:bottom w:w="0" w:type="dxa"/>
            <w:right w:w="108" w:type="dxa"/>
          </w:tblCellMar>
        </w:tblPrEx>
        <w:trPr>
          <w:trHeight w:val="420" w:hRule="atLeast"/>
        </w:trPr>
        <w:tc>
          <w:tcPr>
            <w:tcW w:w="3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2D8925">
            <w:pPr>
              <w:widowControl/>
              <w:jc w:val="center"/>
              <w:rPr>
                <w:rFonts w:hint="eastAsia" w:ascii="宋体" w:hAnsi="宋体" w:eastAsia="宋体" w:cs="宋体"/>
                <w:color w:val="000000"/>
                <w:kern w:val="0"/>
                <w:sz w:val="16"/>
                <w:szCs w:val="16"/>
                <w:lang w:val="en-US" w:eastAsia="zh-CN"/>
              </w:rPr>
            </w:pPr>
            <w:r>
              <w:rPr>
                <w:rFonts w:hint="eastAsia" w:ascii="宋体" w:hAnsi="宋体" w:cs="宋体"/>
                <w:color w:val="000000"/>
                <w:kern w:val="0"/>
                <w:sz w:val="16"/>
                <w:szCs w:val="16"/>
                <w:lang w:val="en-US" w:eastAsia="zh-CN"/>
              </w:rPr>
              <w:t>2</w:t>
            </w:r>
          </w:p>
        </w:tc>
        <w:tc>
          <w:tcPr>
            <w:tcW w:w="10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2385B7">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技术工艺部</w:t>
            </w:r>
          </w:p>
        </w:tc>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ECF73A">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精益主管</w:t>
            </w:r>
          </w:p>
        </w:tc>
        <w:tc>
          <w:tcPr>
            <w:tcW w:w="1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9D882B">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 xml:space="preserve">1、负责按产品型号和组装特性制定科学准确的标准工时和新品的预测工时等； </w:t>
            </w:r>
          </w:p>
          <w:p w14:paraId="5E7DB901">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 xml:space="preserve">2、跟踪生产线状况(工艺流程、设备产能、人员配置、场地规划等)，收集和分析劳动生产率和OEE等绩效指标； </w:t>
            </w:r>
          </w:p>
          <w:p w14:paraId="182F3DF9">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 xml:space="preserve">3、负责评估和优化生产线（Layout）布局、物流线路、产线平衡率、人员配置、降低浪费等，供应链价值流（VSM）分析，协助生产计划流程和信息流程改善，促进工厂内物料流、信息流和人员流的流动，缩短制造交期、提高效益； </w:t>
            </w:r>
          </w:p>
          <w:p w14:paraId="67692E6E">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4、负责建立有效的作业分析机制，组织工时测量、动作分析等进行动作效率分析与改善；</w:t>
            </w:r>
          </w:p>
          <w:p w14:paraId="49271BE9">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 xml:space="preserve">5、对物料、能源、模（刀）具等消耗定额进行测定、改进、论证和进行成本核算和分析； </w:t>
            </w:r>
          </w:p>
          <w:p w14:paraId="7C668D56">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 xml:space="preserve">6、协助评估和推进工厂内自动化设备、半自动化设备、新型设备、工装夹具的研制和应用，投资方案的设计和投资效益分析； </w:t>
            </w:r>
          </w:p>
          <w:p w14:paraId="05491854">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 xml:space="preserve">7、负责推进工厂标准化作业的实施与提高，拟定标准化作业指导书、标准作业组合表以及标准作业表等标准化作业文件，并保证准确性与及时性； </w:t>
            </w:r>
          </w:p>
          <w:p w14:paraId="6036FA32">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 xml:space="preserve">8、协助建立和完善工厂持续改善机制，对生产工艺过程和生产流程进行分析改善，减少浪费、节约成本和不断提高劳动生产率； </w:t>
            </w:r>
          </w:p>
          <w:p w14:paraId="38294C65">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 xml:space="preserve">9、协助推动精益生产系统在工厂内的推进和实施，带训班组长和多能工等IE技能，负责生产各工序IE及精益生产改善项目； </w:t>
            </w:r>
          </w:p>
          <w:p w14:paraId="23649EAD">
            <w:pPr>
              <w:pStyle w:val="22"/>
              <w:shd w:val="clear"/>
              <w:spacing w:line="360" w:lineRule="exact"/>
              <w:ind w:firstLine="0" w:firstLineChars="0"/>
              <w:rPr>
                <w:rFonts w:hint="eastAsia" w:ascii="宋体" w:hAnsi="宋体" w:eastAsia="宋体" w:cs="宋体"/>
                <w:color w:val="auto"/>
                <w:sz w:val="16"/>
                <w:szCs w:val="16"/>
                <w:highlight w:val="none"/>
                <w:shd w:val="clear" w:color="auto" w:fill="FFFFFF"/>
              </w:rPr>
            </w:pPr>
            <w:r>
              <w:rPr>
                <w:rFonts w:hint="eastAsia" w:ascii="宋体" w:hAnsi="宋体" w:eastAsia="宋体" w:cs="宋体"/>
                <w:color w:val="auto"/>
                <w:sz w:val="16"/>
                <w:szCs w:val="16"/>
                <w:highlight w:val="none"/>
                <w:shd w:val="clear" w:color="auto" w:fill="FFFFFF"/>
              </w:rPr>
              <w:t xml:space="preserve">10、参与项目效率改善、品质改善方案的调研、数据收集、分析和实施，策划QCC活动等； </w:t>
            </w:r>
          </w:p>
          <w:p w14:paraId="66282079">
            <w:pPr>
              <w:pStyle w:val="22"/>
              <w:shd w:val="clear"/>
              <w:spacing w:line="360" w:lineRule="exact"/>
              <w:ind w:firstLine="0" w:firstLineChars="0"/>
              <w:rPr>
                <w:rFonts w:hint="eastAsia" w:ascii="宋体" w:hAnsi="宋体" w:eastAsia="宋体" w:cs="宋体"/>
                <w:b/>
                <w:color w:val="auto"/>
                <w:sz w:val="16"/>
                <w:szCs w:val="16"/>
                <w:highlight w:val="none"/>
              </w:rPr>
            </w:pPr>
            <w:r>
              <w:rPr>
                <w:rFonts w:hint="eastAsia" w:ascii="宋体" w:hAnsi="宋体" w:eastAsia="宋体" w:cs="宋体"/>
                <w:color w:val="auto"/>
                <w:sz w:val="16"/>
                <w:szCs w:val="16"/>
                <w:highlight w:val="none"/>
                <w:shd w:val="clear" w:color="auto" w:fill="FFFFFF"/>
              </w:rPr>
              <w:t>11、部门领导分配的其他工作。</w:t>
            </w:r>
          </w:p>
          <w:p w14:paraId="05FEA736">
            <w:pPr>
              <w:widowControl/>
              <w:jc w:val="left"/>
              <w:rPr>
                <w:rFonts w:hint="eastAsia" w:ascii="宋体" w:hAnsi="宋体" w:cs="宋体"/>
                <w:color w:val="000000"/>
                <w:kern w:val="0"/>
                <w:sz w:val="16"/>
                <w:szCs w:val="16"/>
              </w:rPr>
            </w:pPr>
          </w:p>
        </w:tc>
        <w:tc>
          <w:tcPr>
            <w:tcW w:w="7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EB98ED">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杨敏</w:t>
            </w:r>
          </w:p>
        </w:tc>
        <w:tc>
          <w:tcPr>
            <w:tcW w:w="5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19176B">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1</w:t>
            </w:r>
          </w:p>
        </w:tc>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05297A">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女</w:t>
            </w:r>
          </w:p>
        </w:tc>
        <w:tc>
          <w:tcPr>
            <w:tcW w:w="99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EAB6F9">
            <w:pPr>
              <w:widowControl/>
              <w:jc w:val="center"/>
              <w:rPr>
                <w:rFonts w:hint="default" w:ascii="宋体" w:hAnsi="宋体" w:eastAsia="宋体" w:cs="宋体"/>
                <w:i w:val="0"/>
                <w:iCs w:val="0"/>
                <w:color w:val="000000"/>
                <w:kern w:val="2"/>
                <w:sz w:val="20"/>
                <w:szCs w:val="20"/>
                <w:u w:val="none"/>
                <w:lang w:val="en-US" w:eastAsia="zh-CN" w:bidi="ar-SA"/>
              </w:rPr>
            </w:pPr>
            <w:r>
              <w:rPr>
                <w:rFonts w:hint="eastAsia" w:ascii="宋体" w:hAnsi="宋体" w:cs="宋体"/>
                <w:color w:val="000000"/>
                <w:kern w:val="0"/>
                <w:sz w:val="16"/>
                <w:szCs w:val="16"/>
                <w:lang w:val="en-US" w:eastAsia="zh-CN"/>
              </w:rPr>
              <w:t>湖北荆州</w:t>
            </w:r>
          </w:p>
        </w:tc>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44771B">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38</w:t>
            </w:r>
          </w:p>
        </w:tc>
        <w:tc>
          <w:tcPr>
            <w:tcW w:w="7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0ABE87">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本科</w:t>
            </w:r>
          </w:p>
        </w:tc>
        <w:tc>
          <w:tcPr>
            <w:tcW w:w="19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AD49F5">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东北林业大学</w:t>
            </w:r>
          </w:p>
        </w:tc>
        <w:tc>
          <w:tcPr>
            <w:tcW w:w="17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E97FB6">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工业工程</w:t>
            </w:r>
          </w:p>
        </w:tc>
      </w:tr>
      <w:tr w14:paraId="327B2C9F">
        <w:tblPrEx>
          <w:tblCellMar>
            <w:top w:w="0" w:type="dxa"/>
            <w:left w:w="108" w:type="dxa"/>
            <w:bottom w:w="0" w:type="dxa"/>
            <w:right w:w="108" w:type="dxa"/>
          </w:tblCellMar>
        </w:tblPrEx>
        <w:trPr>
          <w:trHeight w:val="420" w:hRule="atLeast"/>
        </w:trPr>
        <w:tc>
          <w:tcPr>
            <w:tcW w:w="37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B1A64D">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3</w:t>
            </w:r>
          </w:p>
        </w:tc>
        <w:tc>
          <w:tcPr>
            <w:tcW w:w="10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036438">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技术工艺部</w:t>
            </w:r>
          </w:p>
        </w:tc>
        <w:tc>
          <w:tcPr>
            <w:tcW w:w="8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50C111">
            <w:pPr>
              <w:widowControl/>
              <w:jc w:val="center"/>
              <w:rPr>
                <w:rFonts w:hint="default"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IE工程师</w:t>
            </w:r>
          </w:p>
        </w:tc>
        <w:tc>
          <w:tcPr>
            <w:tcW w:w="11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57867E">
            <w:pPr>
              <w:widowControl/>
              <w:jc w:val="both"/>
              <w:rPr>
                <w:rFonts w:hint="eastAsia"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1、产能评估，资源优化，持续改善生产效率，协助生产线解决问题； </w:t>
            </w:r>
          </w:p>
          <w:p w14:paraId="2BCF5289">
            <w:pPr>
              <w:widowControl/>
              <w:jc w:val="both"/>
              <w:rPr>
                <w:rFonts w:hint="eastAsia"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2、制订标准工时，人员定额，作为厂区效率改善，成本评估之依据； </w:t>
            </w:r>
          </w:p>
          <w:p w14:paraId="4B9E258A">
            <w:pPr>
              <w:widowControl/>
              <w:jc w:val="both"/>
              <w:rPr>
                <w:rFonts w:hint="eastAsia"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3、规划工厂布置，优化物流，增加空间利用率，优化流水线物流，合理安排流水线，发挥最大效能； </w:t>
            </w:r>
          </w:p>
          <w:p w14:paraId="0D12FBD3">
            <w:pPr>
              <w:widowControl/>
              <w:jc w:val="both"/>
              <w:rPr>
                <w:rFonts w:hint="eastAsia"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4、改善作业方式及线平衡，提升作业效率，减少材料报废； </w:t>
            </w:r>
          </w:p>
          <w:p w14:paraId="2C537537">
            <w:pPr>
              <w:widowControl/>
              <w:jc w:val="both"/>
              <w:rPr>
                <w:rFonts w:hint="eastAsia" w:ascii="宋体" w:hAnsi="宋体" w:cs="宋体"/>
                <w:color w:val="000000"/>
                <w:kern w:val="0"/>
                <w:sz w:val="16"/>
                <w:szCs w:val="16"/>
                <w:lang w:val="en-US" w:eastAsia="zh-CN"/>
              </w:rPr>
            </w:pPr>
            <w:r>
              <w:rPr>
                <w:rFonts w:hint="eastAsia" w:ascii="宋体" w:hAnsi="宋体" w:cs="宋体"/>
                <w:color w:val="000000"/>
                <w:kern w:val="0"/>
                <w:sz w:val="16"/>
                <w:szCs w:val="16"/>
                <w:lang w:val="en-US" w:eastAsia="zh-CN"/>
              </w:rPr>
              <w:t>5、标准化分析研究(操作分析，流程分析)，确定标准化流程，提高管理效率； </w:t>
            </w:r>
          </w:p>
          <w:p w14:paraId="1D0EC1FE">
            <w:pPr>
              <w:widowControl/>
              <w:jc w:val="both"/>
              <w:rPr>
                <w:rFonts w:hint="eastAsia" w:ascii="宋体" w:hAnsi="宋体" w:eastAsia="宋体" w:cs="宋体"/>
                <w:color w:val="000000"/>
                <w:kern w:val="0"/>
                <w:sz w:val="16"/>
                <w:szCs w:val="16"/>
              </w:rPr>
            </w:pPr>
            <w:r>
              <w:rPr>
                <w:rFonts w:hint="eastAsia" w:ascii="宋体" w:hAnsi="宋体" w:cs="宋体"/>
                <w:color w:val="000000"/>
                <w:kern w:val="0"/>
                <w:sz w:val="16"/>
                <w:szCs w:val="16"/>
                <w:lang w:val="en-US" w:eastAsia="zh-CN"/>
              </w:rPr>
              <w:t>6、制造成本分析，降低报废成本，制造成本。</w:t>
            </w:r>
          </w:p>
        </w:tc>
        <w:tc>
          <w:tcPr>
            <w:tcW w:w="73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8B66FB">
            <w:pPr>
              <w:widowControl/>
              <w:jc w:val="center"/>
              <w:rPr>
                <w:rFonts w:hint="eastAsia" w:ascii="宋体" w:hAnsi="宋体" w:eastAsia="宋体" w:cs="宋体"/>
                <w:color w:val="000000"/>
                <w:kern w:val="0"/>
                <w:sz w:val="16"/>
                <w:szCs w:val="16"/>
                <w:lang w:val="en-US" w:eastAsia="zh-CN" w:bidi="ar-SA"/>
              </w:rPr>
            </w:pPr>
            <w:r>
              <w:rPr>
                <w:rFonts w:hint="eastAsia" w:ascii="宋体" w:hAnsi="宋体" w:cs="宋体"/>
                <w:color w:val="000000"/>
                <w:kern w:val="0"/>
                <w:sz w:val="16"/>
                <w:szCs w:val="16"/>
                <w:lang w:val="en-US" w:eastAsia="zh-CN"/>
              </w:rPr>
              <w:t>洪斌</w:t>
            </w:r>
          </w:p>
        </w:tc>
        <w:tc>
          <w:tcPr>
            <w:tcW w:w="53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C5F9D7">
            <w:pPr>
              <w:widowControl/>
              <w:jc w:val="center"/>
              <w:rPr>
                <w:rFonts w:hint="eastAsia" w:ascii="宋体" w:hAnsi="宋体" w:eastAsia="宋体" w:cs="宋体"/>
                <w:color w:val="000000"/>
                <w:kern w:val="0"/>
                <w:sz w:val="16"/>
                <w:szCs w:val="16"/>
                <w:lang w:val="en-US" w:eastAsia="zh-CN" w:bidi="ar-SA"/>
              </w:rPr>
            </w:pPr>
            <w:r>
              <w:rPr>
                <w:rFonts w:hint="eastAsia" w:ascii="宋体" w:hAnsi="宋体" w:cs="宋体"/>
                <w:color w:val="000000"/>
                <w:kern w:val="0"/>
                <w:sz w:val="16"/>
                <w:szCs w:val="16"/>
                <w:lang w:val="en-US" w:eastAsia="zh-CN"/>
              </w:rPr>
              <w:t>1</w:t>
            </w:r>
          </w:p>
        </w:tc>
        <w:tc>
          <w:tcPr>
            <w:tcW w:w="51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E0C097">
            <w:pPr>
              <w:widowControl/>
              <w:jc w:val="center"/>
              <w:rPr>
                <w:rFonts w:hint="eastAsia" w:ascii="宋体" w:hAnsi="宋体" w:eastAsia="宋体" w:cs="宋体"/>
                <w:color w:val="000000"/>
                <w:kern w:val="0"/>
                <w:sz w:val="16"/>
                <w:szCs w:val="16"/>
                <w:lang w:val="en-US" w:eastAsia="zh-CN" w:bidi="ar-SA"/>
              </w:rPr>
            </w:pPr>
            <w:r>
              <w:rPr>
                <w:rFonts w:hint="eastAsia" w:ascii="宋体" w:hAnsi="宋体" w:cs="宋体"/>
                <w:color w:val="000000"/>
                <w:kern w:val="0"/>
                <w:sz w:val="16"/>
                <w:szCs w:val="16"/>
                <w:lang w:val="en-US" w:eastAsia="zh-CN"/>
              </w:rPr>
              <w:t>男</w:t>
            </w:r>
          </w:p>
        </w:tc>
        <w:tc>
          <w:tcPr>
            <w:tcW w:w="99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1F39EC">
            <w:pPr>
              <w:widowControl/>
              <w:jc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cs="宋体"/>
                <w:color w:val="000000"/>
                <w:kern w:val="0"/>
                <w:sz w:val="16"/>
                <w:szCs w:val="16"/>
                <w:lang w:val="en-US" w:eastAsia="zh-CN"/>
              </w:rPr>
              <w:t>湖北利川</w:t>
            </w:r>
          </w:p>
        </w:tc>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23B699">
            <w:pPr>
              <w:widowControl/>
              <w:jc w:val="center"/>
              <w:rPr>
                <w:rFonts w:hint="eastAsia" w:ascii="宋体" w:hAnsi="宋体" w:eastAsia="宋体" w:cs="宋体"/>
                <w:color w:val="000000"/>
                <w:kern w:val="0"/>
                <w:sz w:val="16"/>
                <w:szCs w:val="16"/>
                <w:lang w:val="en-US" w:eastAsia="zh-CN" w:bidi="ar-SA"/>
              </w:rPr>
            </w:pPr>
            <w:r>
              <w:rPr>
                <w:rFonts w:hint="eastAsia" w:ascii="宋体" w:hAnsi="宋体" w:cs="宋体"/>
                <w:color w:val="000000"/>
                <w:kern w:val="0"/>
                <w:sz w:val="16"/>
                <w:szCs w:val="16"/>
                <w:lang w:val="en-US" w:eastAsia="zh-CN"/>
              </w:rPr>
              <w:t>21</w:t>
            </w:r>
          </w:p>
        </w:tc>
        <w:tc>
          <w:tcPr>
            <w:tcW w:w="7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F9D965">
            <w:pPr>
              <w:widowControl/>
              <w:jc w:val="center"/>
              <w:rPr>
                <w:rFonts w:hint="eastAsia" w:ascii="宋体" w:hAnsi="宋体" w:eastAsia="宋体" w:cs="宋体"/>
                <w:color w:val="000000"/>
                <w:kern w:val="0"/>
                <w:sz w:val="16"/>
                <w:szCs w:val="16"/>
                <w:lang w:val="en-US" w:eastAsia="zh-CN" w:bidi="ar-SA"/>
              </w:rPr>
            </w:pPr>
            <w:r>
              <w:rPr>
                <w:rFonts w:hint="eastAsia" w:ascii="宋体" w:hAnsi="宋体" w:cs="宋体"/>
                <w:color w:val="000000"/>
                <w:kern w:val="0"/>
                <w:sz w:val="16"/>
                <w:szCs w:val="16"/>
                <w:lang w:val="en-US" w:eastAsia="zh-CN"/>
              </w:rPr>
              <w:t>本科</w:t>
            </w:r>
          </w:p>
        </w:tc>
        <w:tc>
          <w:tcPr>
            <w:tcW w:w="19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BFD162">
            <w:pPr>
              <w:widowControl/>
              <w:jc w:val="center"/>
              <w:rPr>
                <w:rFonts w:hint="eastAsia" w:ascii="宋体" w:hAnsi="宋体" w:eastAsia="宋体" w:cs="宋体"/>
                <w:color w:val="000000"/>
                <w:kern w:val="0"/>
                <w:sz w:val="16"/>
                <w:szCs w:val="16"/>
                <w:lang w:val="en-US" w:eastAsia="zh-CN" w:bidi="ar-SA"/>
              </w:rPr>
            </w:pPr>
            <w:r>
              <w:rPr>
                <w:rFonts w:hint="eastAsia" w:ascii="宋体" w:hAnsi="宋体" w:cs="宋体"/>
                <w:color w:val="000000"/>
                <w:kern w:val="0"/>
                <w:sz w:val="16"/>
                <w:szCs w:val="16"/>
                <w:lang w:val="en-US" w:eastAsia="zh-CN"/>
              </w:rPr>
              <w:t>大连交通大学</w:t>
            </w:r>
          </w:p>
        </w:tc>
        <w:tc>
          <w:tcPr>
            <w:tcW w:w="171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9035D6">
            <w:pPr>
              <w:widowControl/>
              <w:jc w:val="center"/>
              <w:rPr>
                <w:rFonts w:hint="eastAsia" w:ascii="宋体" w:hAnsi="宋体" w:eastAsia="宋体" w:cs="宋体"/>
                <w:color w:val="000000"/>
                <w:kern w:val="0"/>
                <w:sz w:val="16"/>
                <w:szCs w:val="16"/>
                <w:lang w:val="en-US" w:eastAsia="zh-CN" w:bidi="ar-SA"/>
              </w:rPr>
            </w:pPr>
            <w:r>
              <w:rPr>
                <w:rFonts w:hint="eastAsia" w:ascii="宋体" w:hAnsi="宋体" w:cs="宋体"/>
                <w:color w:val="000000"/>
                <w:kern w:val="0"/>
                <w:sz w:val="16"/>
                <w:szCs w:val="16"/>
                <w:lang w:val="en-US" w:eastAsia="zh-CN"/>
              </w:rPr>
              <w:t>工业工程</w:t>
            </w:r>
          </w:p>
        </w:tc>
      </w:tr>
    </w:tbl>
    <w:p w14:paraId="785D0AAF"/>
    <w:p w14:paraId="584DB23E">
      <w:pPr>
        <w:pStyle w:val="10"/>
        <w:ind w:firstLine="880"/>
        <w:rPr>
          <w:rFonts w:ascii="方正小标宋简体" w:hAnsi="方正小标宋简体" w:eastAsia="方正小标宋简体" w:cs="方正小标宋简体"/>
          <w:sz w:val="44"/>
          <w:szCs w:val="44"/>
        </w:rPr>
      </w:pPr>
    </w:p>
    <w:sectPr>
      <w:footerReference r:id="rId3" w:type="default"/>
      <w:pgSz w:w="11906" w:h="16838"/>
      <w:pgMar w:top="2098" w:right="1474" w:bottom="175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embedRegular r:id="rId1" w:fontKey="{C13FF362-28B7-4F0C-A29F-BCA5153A1E8E}"/>
  </w:font>
  <w:font w:name="仿宋">
    <w:panose1 w:val="02010609060101010101"/>
    <w:charset w:val="86"/>
    <w:family w:val="modern"/>
    <w:pitch w:val="default"/>
    <w:sig w:usb0="800002BF" w:usb1="38CF7CFA" w:usb2="00000016" w:usb3="00000000" w:csb0="00040001" w:csb1="00000000"/>
    <w:embedRegular r:id="rId2" w:fontKey="{23F05B5A-0063-4522-A02C-9FFF2358CF61}"/>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E0000" w:usb2="00000000" w:usb3="00000000" w:csb0="00040000" w:csb1="00000000"/>
    <w:embedRegular r:id="rId3" w:fontKey="{5B3F6944-E6D7-4224-B88B-139C5A1DC89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46B0E">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868C88">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rY5ptYBAACyAwAADgAAAGRycy9lMm9Eb2MueG1srVPNjtMwEL4j8Q6W&#10;7zRpD6iKmq6AahESAqSFB3Adp7HkP3mmTcoDwBtw4sKd5+pzMHaS7rJc9sAlGY/H33zf5/HmZrCG&#10;nVQE7V3Nl4uSM+Wkb7Q71PzL59sXa84AhWuE8U7V/KyA32yfP9v0oVIr33nTqMgIxEHVh5p3iKEq&#10;CpCdsgIWPihHm62PViAt46FoougJ3ZpiVZYvi97HJkQvFQBld+MmnxDjUwB922qpdl4erXI4okZl&#10;BJIk6HQAvs1s21ZJ/Ni2oJCZmpNSzF9qQvE+fYvtRlSHKEKn5URBPIXCI01WaEdNr1A7gYIdo/4H&#10;ymoZPfgWF9LbYhSSHSEVy/KRN3edCCprIashXE2H/wcrP5w+RaYbmgTOnLB04Zcf3y8/f19+fWPL&#10;ZE8foKKqu0B1OLz2Qyqd8kDJpHpoo01/0sNon8w9X81VAzKZDq1X63VJW5L25gXhFPfHQwR8q7xl&#10;Kah5pNvLporTe8CxdC5J3Zy/1cZQXlTG/ZUgzJQpEveRY4pw2A8T8b1vzqSHngH16Xz8yllPQ1Bz&#10;RzPPmXnnyOM0L3MQ52A/B8JJOlhz5GwM32Ceq0QEwqsjErtMOrUe+02M6Cqz7Gns0qw8XOeq+6e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6rY5ptYBAACyAwAADgAAAAAAAAABACAAAAAe&#10;AQAAZHJzL2Uyb0RvYy54bWxQSwUGAAAAAAYABgBZAQAAZgUAAAAA&#10;">
              <v:fill on="f" focussize="0,0"/>
              <v:stroke on="f"/>
              <v:imagedata o:title=""/>
              <o:lock v:ext="edit" aspectratio="f"/>
              <v:textbox inset="0mm,0mm,0mm,0mm" style="mso-fit-shape-to-text:t;">
                <w:txbxContent>
                  <w:p w14:paraId="11868C88">
                    <w:pPr>
                      <w:pStyle w:val="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wZDkyMmQ2NThmMmNkMmYwMGQ1ZTIzZmJkNjk1NGIifQ=="/>
  </w:docVars>
  <w:rsids>
    <w:rsidRoot w:val="DB5C73F6"/>
    <w:rsid w:val="00192F0B"/>
    <w:rsid w:val="0029036D"/>
    <w:rsid w:val="002A6539"/>
    <w:rsid w:val="002E36BC"/>
    <w:rsid w:val="0034435D"/>
    <w:rsid w:val="00421034"/>
    <w:rsid w:val="00513F82"/>
    <w:rsid w:val="005E0F3E"/>
    <w:rsid w:val="006C0546"/>
    <w:rsid w:val="0070582C"/>
    <w:rsid w:val="0078233A"/>
    <w:rsid w:val="007A2438"/>
    <w:rsid w:val="00873B80"/>
    <w:rsid w:val="00912655"/>
    <w:rsid w:val="00A45E8F"/>
    <w:rsid w:val="00AE365F"/>
    <w:rsid w:val="00B56D2D"/>
    <w:rsid w:val="00C34680"/>
    <w:rsid w:val="00C45E37"/>
    <w:rsid w:val="00D43DA8"/>
    <w:rsid w:val="00DC06D9"/>
    <w:rsid w:val="00EE56DF"/>
    <w:rsid w:val="00FF2443"/>
    <w:rsid w:val="012F53D6"/>
    <w:rsid w:val="0175017E"/>
    <w:rsid w:val="01E35E76"/>
    <w:rsid w:val="03B90BD9"/>
    <w:rsid w:val="07574353"/>
    <w:rsid w:val="07AF0289"/>
    <w:rsid w:val="08945E9C"/>
    <w:rsid w:val="0A7B5773"/>
    <w:rsid w:val="0D3A34DA"/>
    <w:rsid w:val="0DB56C26"/>
    <w:rsid w:val="10E77A1C"/>
    <w:rsid w:val="11051D44"/>
    <w:rsid w:val="149602A8"/>
    <w:rsid w:val="15BB26AE"/>
    <w:rsid w:val="1A9B58DB"/>
    <w:rsid w:val="1D15442C"/>
    <w:rsid w:val="20F94A27"/>
    <w:rsid w:val="2232021B"/>
    <w:rsid w:val="266B09AF"/>
    <w:rsid w:val="2879052C"/>
    <w:rsid w:val="29B73DA7"/>
    <w:rsid w:val="2A076583"/>
    <w:rsid w:val="2BCA13C7"/>
    <w:rsid w:val="2CC81D42"/>
    <w:rsid w:val="2D131375"/>
    <w:rsid w:val="2D256324"/>
    <w:rsid w:val="2ECD539C"/>
    <w:rsid w:val="2F9EDE8A"/>
    <w:rsid w:val="32CB2696"/>
    <w:rsid w:val="359F10E5"/>
    <w:rsid w:val="371A5AD8"/>
    <w:rsid w:val="37FF31E1"/>
    <w:rsid w:val="39634FC1"/>
    <w:rsid w:val="3B48026E"/>
    <w:rsid w:val="3B6FCDEF"/>
    <w:rsid w:val="3BBFDFF0"/>
    <w:rsid w:val="3C561B39"/>
    <w:rsid w:val="3C9D26BD"/>
    <w:rsid w:val="3CB9525B"/>
    <w:rsid w:val="3DDB4F35"/>
    <w:rsid w:val="3FFACE9B"/>
    <w:rsid w:val="3FFBD431"/>
    <w:rsid w:val="3FFE7C78"/>
    <w:rsid w:val="3FFF155A"/>
    <w:rsid w:val="425710C9"/>
    <w:rsid w:val="440C0673"/>
    <w:rsid w:val="472A74D5"/>
    <w:rsid w:val="478A48C2"/>
    <w:rsid w:val="4FA90BA1"/>
    <w:rsid w:val="4FE7D369"/>
    <w:rsid w:val="50B33275"/>
    <w:rsid w:val="51063AAE"/>
    <w:rsid w:val="56D75847"/>
    <w:rsid w:val="571E4BEF"/>
    <w:rsid w:val="57804FBC"/>
    <w:rsid w:val="57FF62ED"/>
    <w:rsid w:val="58A63FFF"/>
    <w:rsid w:val="58AB3352"/>
    <w:rsid w:val="5B123BF2"/>
    <w:rsid w:val="5CFFE7C8"/>
    <w:rsid w:val="5D355860"/>
    <w:rsid w:val="5D8278A3"/>
    <w:rsid w:val="5DCBBC8B"/>
    <w:rsid w:val="5FD60789"/>
    <w:rsid w:val="5FFF3ADF"/>
    <w:rsid w:val="5FFF4A66"/>
    <w:rsid w:val="5FFFEC67"/>
    <w:rsid w:val="62C93E66"/>
    <w:rsid w:val="65133054"/>
    <w:rsid w:val="67C35408"/>
    <w:rsid w:val="69AC7431"/>
    <w:rsid w:val="69DE55F9"/>
    <w:rsid w:val="6B5D4E34"/>
    <w:rsid w:val="6CCC3ACF"/>
    <w:rsid w:val="6CEEA709"/>
    <w:rsid w:val="6E530145"/>
    <w:rsid w:val="6E8B54E7"/>
    <w:rsid w:val="6FDEE436"/>
    <w:rsid w:val="6FFF3003"/>
    <w:rsid w:val="70FE375E"/>
    <w:rsid w:val="739875B4"/>
    <w:rsid w:val="73FD5374"/>
    <w:rsid w:val="75FF7B66"/>
    <w:rsid w:val="771FF70A"/>
    <w:rsid w:val="788F2438"/>
    <w:rsid w:val="78C240EF"/>
    <w:rsid w:val="78C7578F"/>
    <w:rsid w:val="79485E29"/>
    <w:rsid w:val="79A3598F"/>
    <w:rsid w:val="7AF72301"/>
    <w:rsid w:val="7B781681"/>
    <w:rsid w:val="7BC35DB9"/>
    <w:rsid w:val="7BFFFCFF"/>
    <w:rsid w:val="7CC865B2"/>
    <w:rsid w:val="7CD5058E"/>
    <w:rsid w:val="7D79C212"/>
    <w:rsid w:val="7F1434AC"/>
    <w:rsid w:val="7F2DD52C"/>
    <w:rsid w:val="7F7FCD89"/>
    <w:rsid w:val="7FCF23CE"/>
    <w:rsid w:val="7FEFEF75"/>
    <w:rsid w:val="7FFBE325"/>
    <w:rsid w:val="7FFF3867"/>
    <w:rsid w:val="7FFF889E"/>
    <w:rsid w:val="8EF7992A"/>
    <w:rsid w:val="9EFDAFCA"/>
    <w:rsid w:val="9FEFBCB8"/>
    <w:rsid w:val="AFBFD6D9"/>
    <w:rsid w:val="B33E13D4"/>
    <w:rsid w:val="B6FE9AAC"/>
    <w:rsid w:val="BA81A2FC"/>
    <w:rsid w:val="BBF7F46B"/>
    <w:rsid w:val="BFBC7785"/>
    <w:rsid w:val="D8FB6C03"/>
    <w:rsid w:val="DB5C73F6"/>
    <w:rsid w:val="E3D68D49"/>
    <w:rsid w:val="ED4FD28E"/>
    <w:rsid w:val="F15F9259"/>
    <w:rsid w:val="F7FF50F5"/>
    <w:rsid w:val="FABF08A7"/>
    <w:rsid w:val="FBB784E9"/>
    <w:rsid w:val="FBFFA168"/>
    <w:rsid w:val="FBFFAB1E"/>
    <w:rsid w:val="FDBF519F"/>
    <w:rsid w:val="FFF9F7AA"/>
    <w:rsid w:val="FFFF6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qFormat="1" w:unhideWhenUsed="0" w:uiPriority="0" w:semiHidden="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9"/>
    <w:pPr>
      <w:spacing w:beforeAutospacing="1" w:after="100" w:afterAutospacing="1"/>
      <w:outlineLvl w:val="0"/>
    </w:pPr>
    <w:rPr>
      <w:rFonts w:hint="eastAsia" w:ascii="宋体" w:hAnsi="宋体"/>
      <w:b/>
      <w:bCs/>
      <w:kern w:val="44"/>
      <w:sz w:val="48"/>
      <w:szCs w:val="4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3">
    <w:name w:val="Body Text Indent"/>
    <w:basedOn w:val="1"/>
    <w:next w:val="4"/>
    <w:autoRedefine/>
    <w:qFormat/>
    <w:uiPriority w:val="0"/>
    <w:pPr>
      <w:ind w:left="570"/>
    </w:pPr>
    <w:rPr>
      <w:rFonts w:ascii="仿宋_GB2312" w:eastAsia="仿宋_GB2312"/>
      <w:sz w:val="28"/>
      <w:szCs w:val="28"/>
    </w:rPr>
  </w:style>
  <w:style w:type="paragraph" w:styleId="4">
    <w:name w:val="footer"/>
    <w:basedOn w:val="1"/>
    <w:next w:val="5"/>
    <w:autoRedefine/>
    <w:qFormat/>
    <w:uiPriority w:val="0"/>
    <w:pPr>
      <w:tabs>
        <w:tab w:val="center" w:pos="4153"/>
        <w:tab w:val="right" w:pos="8306"/>
      </w:tabs>
      <w:snapToGrid w:val="0"/>
      <w:jc w:val="left"/>
    </w:pPr>
    <w:rPr>
      <w:sz w:val="18"/>
    </w:rPr>
  </w:style>
  <w:style w:type="paragraph" w:styleId="5">
    <w:name w:val="index 9"/>
    <w:basedOn w:val="1"/>
    <w:next w:val="1"/>
    <w:autoRedefine/>
    <w:qFormat/>
    <w:uiPriority w:val="0"/>
    <w:pPr>
      <w:spacing w:line="576" w:lineRule="exact"/>
      <w:ind w:left="3360" w:firstLine="200" w:firstLineChars="200"/>
      <w:jc w:val="left"/>
    </w:pPr>
    <w:rPr>
      <w:rFonts w:ascii="黑体" w:eastAsia="黑体"/>
    </w:rPr>
  </w:style>
  <w:style w:type="paragraph" w:styleId="6">
    <w:name w:val="Date"/>
    <w:basedOn w:val="1"/>
    <w:next w:val="1"/>
    <w:link w:val="21"/>
    <w:autoRedefine/>
    <w:qFormat/>
    <w:uiPriority w:val="0"/>
    <w:pPr>
      <w:ind w:left="100" w:leftChars="2500"/>
    </w:pPr>
  </w:style>
  <w:style w:type="paragraph" w:styleId="7">
    <w:name w:val="Body Text Indent 2"/>
    <w:basedOn w:val="1"/>
    <w:autoRedefine/>
    <w:qFormat/>
    <w:uiPriority w:val="0"/>
    <w:pPr>
      <w:spacing w:after="120" w:line="480" w:lineRule="auto"/>
      <w:ind w:left="420" w:leftChars="200"/>
    </w:p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autoRedefine/>
    <w:unhideWhenUsed/>
    <w:qFormat/>
    <w:uiPriority w:val="39"/>
    <w:pPr>
      <w:spacing w:after="100" w:line="276" w:lineRule="auto"/>
    </w:pPr>
  </w:style>
  <w:style w:type="paragraph" w:styleId="10">
    <w:name w:val="Body Text 2"/>
    <w:basedOn w:val="1"/>
    <w:autoRedefine/>
    <w:qFormat/>
    <w:uiPriority w:val="0"/>
    <w:pPr>
      <w:spacing w:after="120" w:line="480" w:lineRule="auto"/>
      <w:ind w:firstLine="560" w:firstLineChars="200"/>
    </w:pPr>
    <w:rPr>
      <w:kern w:val="0"/>
    </w:rPr>
  </w:style>
  <w:style w:type="paragraph" w:styleId="11">
    <w:name w:val="Normal (Web)"/>
    <w:basedOn w:val="1"/>
    <w:autoRedefine/>
    <w:qFormat/>
    <w:uiPriority w:val="0"/>
    <w:pPr>
      <w:spacing w:before="100" w:beforeAutospacing="1" w:after="100" w:afterAutospacing="1"/>
      <w:jc w:val="left"/>
    </w:pPr>
    <w:rPr>
      <w:kern w:val="0"/>
      <w:sz w:val="24"/>
    </w:rPr>
  </w:style>
  <w:style w:type="paragraph" w:styleId="12">
    <w:name w:val="Body Text First Indent 2"/>
    <w:basedOn w:val="3"/>
    <w:autoRedefine/>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semiHidden/>
    <w:unhideWhenUsed/>
    <w:qFormat/>
    <w:uiPriority w:val="0"/>
    <w:rPr>
      <w:color w:val="555555"/>
      <w:u w:val="none"/>
    </w:rPr>
  </w:style>
  <w:style w:type="character" w:styleId="17">
    <w:name w:val="Hyperlink"/>
    <w:basedOn w:val="15"/>
    <w:autoRedefine/>
    <w:qFormat/>
    <w:uiPriority w:val="0"/>
    <w:rPr>
      <w:color w:val="0000FF" w:themeColor="hyperlink"/>
      <w:u w:val="single"/>
      <w14:textFill>
        <w14:solidFill>
          <w14:schemeClr w14:val="hlink"/>
        </w14:solidFill>
      </w14:textFill>
    </w:rPr>
  </w:style>
  <w:style w:type="character" w:styleId="18">
    <w:name w:val="HTML Code"/>
    <w:basedOn w:val="15"/>
    <w:semiHidden/>
    <w:unhideWhenUsed/>
    <w:qFormat/>
    <w:uiPriority w:val="0"/>
    <w:rPr>
      <w:rFonts w:hint="eastAsia" w:ascii="微软雅黑" w:hAnsi="微软雅黑" w:eastAsia="微软雅黑" w:cs="微软雅黑"/>
      <w:sz w:val="21"/>
      <w:szCs w:val="21"/>
    </w:rPr>
  </w:style>
  <w:style w:type="character" w:customStyle="1" w:styleId="19">
    <w:name w:val="font41"/>
    <w:basedOn w:val="15"/>
    <w:autoRedefine/>
    <w:qFormat/>
    <w:uiPriority w:val="0"/>
    <w:rPr>
      <w:rFonts w:hint="default" w:ascii="仿宋_GB2312" w:eastAsia="仿宋_GB2312" w:cs="仿宋_GB2312"/>
      <w:color w:val="000000"/>
      <w:sz w:val="24"/>
      <w:szCs w:val="24"/>
      <w:u w:val="none"/>
    </w:rPr>
  </w:style>
  <w:style w:type="character" w:customStyle="1" w:styleId="20">
    <w:name w:val="font01"/>
    <w:basedOn w:val="15"/>
    <w:autoRedefine/>
    <w:qFormat/>
    <w:uiPriority w:val="0"/>
    <w:rPr>
      <w:rFonts w:hint="default" w:ascii="仿宋_GB2312" w:eastAsia="仿宋_GB2312" w:cs="仿宋_GB2312"/>
      <w:color w:val="FF0000"/>
      <w:sz w:val="24"/>
      <w:szCs w:val="24"/>
      <w:u w:val="none"/>
    </w:rPr>
  </w:style>
  <w:style w:type="character" w:customStyle="1" w:styleId="21">
    <w:name w:val="日期 字符"/>
    <w:basedOn w:val="15"/>
    <w:link w:val="6"/>
    <w:autoRedefine/>
    <w:qFormat/>
    <w:uiPriority w:val="0"/>
    <w:rPr>
      <w:rFonts w:ascii="Calibri" w:hAnsi="Calibri"/>
      <w:kern w:val="2"/>
      <w:sz w:val="21"/>
      <w:szCs w:val="24"/>
    </w:rPr>
  </w:style>
  <w:style w:type="paragraph" w:styleId="22">
    <w:name w:val="List Paragraph"/>
    <w:basedOn w:val="1"/>
    <w:qFormat/>
    <w:uiPriority w:val="34"/>
    <w:pPr>
      <w:ind w:firstLine="420" w:firstLineChars="200"/>
    </w:pPr>
  </w:style>
  <w:style w:type="character" w:customStyle="1" w:styleId="23">
    <w:name w:val="layui-this"/>
    <w:basedOn w:val="15"/>
    <w:qFormat/>
    <w:uiPriority w:val="0"/>
    <w:rPr>
      <w:bdr w:val="single" w:color="EEEEEE" w:sz="6" w:space="0"/>
      <w:shd w:val="clear" w:fill="FFFFFF"/>
    </w:rPr>
  </w:style>
  <w:style w:type="character" w:customStyle="1" w:styleId="24">
    <w:name w:val="first-child"/>
    <w:basedOn w:val="15"/>
    <w:qFormat/>
    <w:uiPriority w:val="0"/>
  </w:style>
  <w:style w:type="character" w:customStyle="1" w:styleId="25">
    <w:name w:val="hover26"/>
    <w:basedOn w:val="15"/>
    <w:qFormat/>
    <w:uiPriority w:val="0"/>
    <w:rPr>
      <w:color w:val="FF6600"/>
      <w:shd w:val="clear" w:fill="FFD8B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1241</Words>
  <Characters>1304</Characters>
  <Lines>4</Lines>
  <Paragraphs>1</Paragraphs>
  <TotalTime>0</TotalTime>
  <ScaleCrop>false</ScaleCrop>
  <LinksUpToDate>false</LinksUpToDate>
  <CharactersWithSpaces>1394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2022-11-14T07:44:00Z</dcterms:created>
  <dc:creator>user01</dc:creator>
  <cp:lastModifiedBy>夏</cp:lastModifiedBy>
  <cp:lastPrinted>2022-11-17T07:30:00Z</cp:lastPrinted>
  <dcterms:modified xsi:type="dcterms:W3CDTF">2025-03-11T07:46:34Z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A91C12320669464D969DD09C842002B4_13</vt:lpwstr>
  </property>
  <property fmtid="{D5CDD505-2E9C-101B-9397-08002B2CF9AE}" pid="4" name="KSOTemplateDocerSaveRecord">
    <vt:lpwstr>eyJoZGlkIjoiNDEwZDkyMmQ2NThmMmNkMmYwMGQ1ZTIzZmJkNjk1NGIiLCJ1c2VySWQiOiIxMjAyOTM0MjY2In0=</vt:lpwstr>
  </property>
</Properties>
</file>